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2C" w:rsidRPr="003A0C2C" w:rsidRDefault="003A0C2C" w:rsidP="003A0C2C">
      <w:pPr>
        <w:tabs>
          <w:tab w:val="left" w:pos="450"/>
        </w:tabs>
        <w:spacing w:before="120" w:after="120" w:line="240" w:lineRule="auto"/>
        <w:ind w:firstLine="227"/>
        <w:jc w:val="both"/>
        <w:rPr>
          <w:rFonts w:ascii="Arial" w:eastAsia="Times New Roman" w:hAnsi="Arial" w:cs="Times New Roman"/>
          <w:color w:val="000000"/>
          <w:spacing w:val="20"/>
          <w:sz w:val="24"/>
          <w:szCs w:val="24"/>
          <w:u w:color="000000"/>
          <w:lang w:eastAsia="pl-PL"/>
        </w:rPr>
      </w:pPr>
      <w:r w:rsidRPr="003A0C2C">
        <w:rPr>
          <w:rFonts w:ascii="Arial" w:eastAsia="Times New Roman" w:hAnsi="Arial" w:cs="Times New Roman"/>
          <w:color w:val="000000"/>
          <w:spacing w:val="20"/>
          <w:sz w:val="24"/>
          <w:szCs w:val="24"/>
          <w:u w:color="000000"/>
          <w:lang w:eastAsia="pl-PL"/>
        </w:rPr>
        <w:tab/>
        <w:t>Przedszkole Publiczne nr 5</w:t>
      </w:r>
    </w:p>
    <w:p w:rsidR="003A0C2C" w:rsidRPr="003A0C2C" w:rsidRDefault="003A0C2C" w:rsidP="003A0C2C">
      <w:pPr>
        <w:tabs>
          <w:tab w:val="left" w:pos="450"/>
        </w:tabs>
        <w:spacing w:before="120" w:after="120" w:line="240" w:lineRule="auto"/>
        <w:ind w:firstLine="227"/>
        <w:jc w:val="both"/>
        <w:rPr>
          <w:rFonts w:ascii="Arial" w:eastAsia="Times New Roman" w:hAnsi="Arial" w:cs="Times New Roman"/>
          <w:color w:val="000000"/>
          <w:spacing w:val="20"/>
          <w:sz w:val="24"/>
          <w:szCs w:val="24"/>
          <w:u w:color="000000"/>
          <w:lang w:eastAsia="pl-PL"/>
        </w:rPr>
      </w:pPr>
      <w:r w:rsidRPr="003A0C2C">
        <w:rPr>
          <w:rFonts w:ascii="Arial" w:eastAsia="Times New Roman" w:hAnsi="Arial" w:cs="Times New Roman"/>
          <w:color w:val="000000"/>
          <w:spacing w:val="20"/>
          <w:sz w:val="24"/>
          <w:szCs w:val="24"/>
          <w:u w:color="000000"/>
          <w:lang w:eastAsia="pl-PL"/>
        </w:rPr>
        <w:t xml:space="preserve">ul. Jana Pawła II 11 </w:t>
      </w:r>
    </w:p>
    <w:p w:rsidR="003A0C2C" w:rsidRPr="003A0C2C" w:rsidRDefault="003A0C2C" w:rsidP="003A0C2C">
      <w:pPr>
        <w:tabs>
          <w:tab w:val="left" w:pos="450"/>
        </w:tabs>
        <w:spacing w:before="120" w:after="120" w:line="240" w:lineRule="auto"/>
        <w:ind w:firstLine="227"/>
        <w:jc w:val="both"/>
        <w:rPr>
          <w:rFonts w:ascii="Arial" w:eastAsia="Times New Roman" w:hAnsi="Arial" w:cs="Times New Roman"/>
          <w:color w:val="000000"/>
          <w:spacing w:val="20"/>
          <w:sz w:val="24"/>
          <w:szCs w:val="24"/>
          <w:u w:color="000000"/>
          <w:lang w:eastAsia="pl-PL"/>
        </w:rPr>
      </w:pPr>
      <w:r w:rsidRPr="003A0C2C">
        <w:rPr>
          <w:rFonts w:ascii="Arial" w:eastAsia="Times New Roman" w:hAnsi="Arial" w:cs="Times New Roman"/>
          <w:color w:val="000000"/>
          <w:spacing w:val="20"/>
          <w:sz w:val="24"/>
          <w:szCs w:val="24"/>
          <w:u w:color="000000"/>
          <w:lang w:eastAsia="pl-PL"/>
        </w:rPr>
        <w:t>98-100 Łask</w:t>
      </w:r>
    </w:p>
    <w:p w:rsidR="003A0C2C" w:rsidRDefault="003A0C2C" w:rsidP="003A0C2C">
      <w:pPr>
        <w:spacing w:before="120" w:after="120" w:line="240" w:lineRule="auto"/>
        <w:ind w:firstLine="227"/>
        <w:jc w:val="center"/>
        <w:rPr>
          <w:rFonts w:ascii="Arial" w:eastAsia="Times New Roman" w:hAnsi="Arial" w:cs="Times New Roman"/>
          <w:b/>
          <w:color w:val="000000"/>
          <w:spacing w:val="20"/>
          <w:sz w:val="24"/>
          <w:szCs w:val="24"/>
          <w:u w:color="000000"/>
          <w:lang w:eastAsia="pl-PL"/>
        </w:rPr>
      </w:pPr>
    </w:p>
    <w:p w:rsidR="003A0C2C" w:rsidRPr="00EB7EED" w:rsidRDefault="003A0C2C" w:rsidP="003A0C2C">
      <w:pPr>
        <w:spacing w:before="120" w:after="120" w:line="240" w:lineRule="auto"/>
        <w:ind w:firstLine="227"/>
        <w:jc w:val="center"/>
        <w:rPr>
          <w:rFonts w:ascii="Arial" w:eastAsia="Times New Roman" w:hAnsi="Arial" w:cs="Times New Roman"/>
          <w:color w:val="000000"/>
          <w:spacing w:val="20"/>
          <w:sz w:val="24"/>
          <w:szCs w:val="24"/>
          <w:u w:color="000000"/>
          <w:lang w:eastAsia="pl-PL"/>
        </w:rPr>
      </w:pPr>
      <w:r w:rsidRPr="00EB7EED">
        <w:rPr>
          <w:rFonts w:ascii="Arial" w:eastAsia="Times New Roman" w:hAnsi="Arial" w:cs="Times New Roman"/>
          <w:b/>
          <w:color w:val="000000"/>
          <w:spacing w:val="20"/>
          <w:sz w:val="24"/>
          <w:szCs w:val="24"/>
          <w:u w:color="000000"/>
          <w:lang w:eastAsia="pl-PL"/>
        </w:rPr>
        <w:t>INFORMACJA DODATKOWA</w:t>
      </w:r>
      <w:r w:rsidRPr="00EB7EED">
        <w:rPr>
          <w:rFonts w:ascii="Arial" w:eastAsia="Times New Roman" w:hAnsi="Arial" w:cs="Times New Roman"/>
          <w:b/>
          <w:color w:val="000000"/>
          <w:spacing w:val="20"/>
          <w:sz w:val="24"/>
          <w:szCs w:val="24"/>
          <w:u w:color="000000"/>
          <w:lang w:eastAsia="pl-PL"/>
        </w:rPr>
        <w:br/>
      </w: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9094"/>
        <w:gridCol w:w="484"/>
      </w:tblGrid>
      <w:tr w:rsidR="003A0C2C" w:rsidRPr="00EB7EED" w:rsidTr="00A14D3D">
        <w:trPr>
          <w:gridAfter w:val="1"/>
          <w:wAfter w:w="484" w:type="dxa"/>
          <w:trHeight w:hRule="exact" w:val="65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I.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Wprowadzenie do sprawozdania finansowego, obejmuje w szczególności: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65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1.1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nazwę jednostki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Przedszkole Publiczne nr 5 im. Juliana Tuwima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1.2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siedzibę jednostki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Łask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1.3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adres jednostki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Jana Pawła II  11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1.4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podstawowy przedmiot działalności jednostki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Działalność edukacyjna w zakresie wychowania przedszkolnego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2.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wskazanie okresu objętego sprawozdaniem</w:t>
            </w:r>
          </w:p>
        </w:tc>
      </w:tr>
      <w:tr w:rsidR="003A0C2C" w:rsidRPr="00EB7EED" w:rsidTr="00A14D3D">
        <w:trPr>
          <w:gridAfter w:val="1"/>
          <w:wAfter w:w="484" w:type="dxa"/>
          <w:trHeight w:val="896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Sprawozdanie finansowe obejmuje okres od 1 stycznia 2020 roku do 31 grudnia 2020 roku oraz porównywalne dane finansowe za okres od 1 stycznia 2019 roku do 31 grudnia 2019 roku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409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3.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wskazanie, że sprawozdanie finansowe zawiera dane łączne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662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W przypadku pozytywnej odpowiedzi wskazać należy jednostki objęte łącznym sprawozdaniem</w:t>
            </w:r>
          </w:p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3A0C2C" w:rsidRPr="00EB7EED" w:rsidTr="00A14D3D">
        <w:trPr>
          <w:gridAfter w:val="1"/>
          <w:wAfter w:w="484" w:type="dxa"/>
          <w:trHeight w:val="630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4.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omówienie przyjętych zasad (polityki) rachunkowości, w tym metod wyceny aktywów i pasywów (także amortyzacji)</w:t>
            </w:r>
          </w:p>
        </w:tc>
      </w:tr>
      <w:tr w:rsidR="003A0C2C" w:rsidRPr="00EB7EED" w:rsidTr="00A14D3D">
        <w:trPr>
          <w:gridAfter w:val="1"/>
          <w:wAfter w:w="484" w:type="dxa"/>
          <w:trHeight w:val="885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Zasady polityki rachunkowości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W roku obrotowym 2020  stosowano zasady wynikające z ustawy z dnia 29 września 1994 r. o rachunkowości (</w:t>
            </w:r>
            <w:proofErr w:type="spellStart"/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t.j</w:t>
            </w:r>
            <w:proofErr w:type="spellEnd"/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. Dz. U. z 2018 r. poz. 395 z </w:t>
            </w:r>
            <w:proofErr w:type="spellStart"/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późn</w:t>
            </w:r>
            <w:proofErr w:type="spellEnd"/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. zm.), z uwzględnieniem szczególnych zasad wyceny zawartych w rozporządzeniu Ministra Rozwoju i Finansów z dnia 13 września 2017 r. w 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      </w:r>
            <w:proofErr w:type="spellStart"/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t.j</w:t>
            </w:r>
            <w:proofErr w:type="spellEnd"/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. Dz. U. z 2017 r. poz. 1911 z </w:t>
            </w:r>
            <w:proofErr w:type="spellStart"/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póź</w:t>
            </w:r>
            <w:proofErr w:type="spellEnd"/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. zm.).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 </w:t>
            </w: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Metody wyceny aktywów i pasywów </w:t>
            </w:r>
          </w:p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Środki trwałe *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- wg cen nabycia lub kosztów wytworzenia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lastRenderedPageBreak/>
              <w:t xml:space="preserve">Wartości niematerialne i prawne </w:t>
            </w: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*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- wg cen nabycia lub kosztów wytworzenia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Amortyzacja 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- metoda linowa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</w:t>
            </w: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 Należności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- w kwocie wymaganej zapłaty z zachowaniem ostrożności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 Środki pieniężne w kasie i rachunkach bankowych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- w wartości nominalnej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 </w:t>
            </w: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</w:t>
            </w:r>
          </w:p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Materiały</w:t>
            </w:r>
          </w:p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- wg rzeczywistych cen zakupu, powiększone o niepodlegający odliczeniu podatek VAT</w:t>
            </w:r>
          </w:p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Wynik finansowy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- w wiarygodnie ustalonej wartości przy zachowaniu zasady memoriału, współmierności, ostrożności i realizacji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 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lastRenderedPageBreak/>
              <w:t>5.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inne informacje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3A0C2C" w:rsidRPr="00EB7EED" w:rsidTr="00A14D3D">
        <w:trPr>
          <w:gridAfter w:val="1"/>
          <w:wAfter w:w="484" w:type="dxa"/>
          <w:trHeight w:hRule="exact" w:val="397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II.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Dodatkowe informacje i objaśnienia obejmują w szczególności: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3A0C2C" w:rsidRPr="00EB7EED" w:rsidTr="00A14D3D">
        <w:trPr>
          <w:gridAfter w:val="1"/>
          <w:wAfter w:w="484" w:type="dxa"/>
          <w:trHeight w:hRule="exact" w:val="1678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1.1.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szczegółowy zakres zmian wartości grup rodzajowych środków trwałych, wartości niematerialnych i prawnych, zawierający stan tych aktywów na początek roku obrotowego, zwiększenia i zmniejszenia z tytułu: aktualizacji wartości, nabycia, rozchodu, przemieszczenia wewnętrznego oraz stan końcowy, a dla majątku amortyzowanego</w:t>
            </w:r>
          </w:p>
          <w:p w:rsidR="003A0C2C" w:rsidRPr="00EB7EED" w:rsidRDefault="003A0C2C" w:rsidP="00A14D3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– podobne przedstawienie stanów i tytułów zmian dotychczasowej amortyzacji lub umorzenia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Tabela  1.1, Tabela 1.2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645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1.2.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aktualną wartość rynkową środków trwałych, w tym dóbr kultury – o ile jednostka dysponuje takimi informacjami</w:t>
            </w:r>
          </w:p>
        </w:tc>
      </w:tr>
      <w:tr w:rsidR="003A0C2C" w:rsidRPr="00EB7EED" w:rsidTr="00A14D3D">
        <w:trPr>
          <w:gridAfter w:val="1"/>
          <w:wAfter w:w="484" w:type="dxa"/>
          <w:trHeight w:val="720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Proszę podać kwotę w przypadku posiadania informacji</w:t>
            </w: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br/>
            </w:r>
          </w:p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.......................................................................................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119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1.3.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kwotę dokonanych w trakcie roku obrotowego odpisów aktualizujących wartość aktywów trwałych odrębnie dla długoterminowych aktywów niefinansowych oraz długoterminowych aktywów finansowych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1.4.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wartość gruntów użytkowanych wieczyście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950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lastRenderedPageBreak/>
              <w:t>1.5.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wartość nieamortyzowanych lub nieumarzanych przez jednostkę środków trwałych, używanych na podstawie umów najmu, dzierżawy i innych umów, w tym z tytułu umów leasingu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58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1.6.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liczbę oraz wartość posiadanych papierów wartościowych, w tym akcji i udziałów oraz dłużnych papierów wartościowych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1509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1.7.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dane o odpisach aktualizujących wartość należności, ze wskazaniem stanu na początek roku obrotowego, zwiększeniach, wykorzystaniu, rozwiązaniu i stanie na koniec roku obrotowego, z uwzględnieniem należności finansowych jednostek samorządu terytorialnego (stan pożyczek zagrożonych)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790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1.8.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dane o stanie rezerw według celu ich utworzenia na początek roku obrotowego, zwiększeniach, wykorzystaniu, rozwiązaniu i stanie końcowym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1009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1.9.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podział   zobowiązań   długoterminowych   o   pozostałym   od   dnia   bilansowego, przewidywanym umową lub wynikającym z innego tytułu prawnego, okresie spłaty: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a)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powyżej 1 roku do 3 lat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b)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powyżej 3 do 5 lat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c)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powyżej 5 lat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1405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1.10.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kwotę zobowiązań w sytuacji gdy jednostka kwalifikuje umowy leasingu zgodnie z przepisami podatkowymi (leasing operacyjny), a według przepisów o rachunkowości byłby to leasing finansowy lub zwrotny z podziałem na kwotę zobowiązań z tytułu leasingu finansowego lub leasingu zwrotnego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656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1.11.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łączną kwotę zobowiązań zabezpieczonych na majątku jednostki ze wskazaniem charakteru i formy tych zabezpieczeń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1138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1.12.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łączną kwotę zobowiązań warunkowych, w tym również udzielonych przez jednostkę gwarancji i poręczeń, także wekslowych, niewykazanych w bilansie, ze wskazaniem zobowiązań zabezpieczonych na majątku jednostki oraz charakteru i formy tych zabezpieczeń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914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1.13.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wykaz istotnych pozycji czynnych i biernych rozliczeń międzyokresowych, w tym kwotę czynnych rozliczeń międzyokresowych kosztów stanowiących różnicę między wartością otrzymanych finansowych składników aktywów a zobowiązaniem zapłaty za nie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507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lastRenderedPageBreak/>
              <w:t>1.14.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łączną kwotę otrzymanych przez jednostkę gwarancji i poręczeń niewykazanych w bilansie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1.15.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kwotę wypłaconych środków pieniężnych na świadczenia pracownicze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 </w:t>
            </w: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Tabela  1.15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1.16.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inne informacje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2.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2.1.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wysokość odpisów aktualizujących wartość zapasów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798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2.2.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koszt wytworzenia środków trwałych w budowie, w tym odsetki oraz różnice kursowe, które powiększyły koszt wytworzenia środków trwałych w budowie w roku obrotowym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6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616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2.3.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kwotę i charakter poszczególnych pozycji przychodów lub kosztów o nadzwyczajnej wartości lub które wystąpiły incydentalnie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1070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2.4.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jc w:val="both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informację o kwocie należności z tytułu podatków realizowanych przez organy podatkowe podległe ministrowi właściwemu do spraw finansów publicznych wykazywanych w sprawozdaniu z wykonania planu dochodów budżetowych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2.5.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inne informacje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Nie dotyczy 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941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3.</w:t>
            </w: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EB7EED"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Inne informacje niż wymienione powyżej, jeżeli mogłyby w istotny sposób wpłynąć na ocenę sytuacji majątkowej i finansowej oraz wynik finansowy jednostki</w:t>
            </w:r>
          </w:p>
        </w:tc>
      </w:tr>
      <w:tr w:rsidR="003A0C2C" w:rsidRPr="00EB7EED" w:rsidTr="00A14D3D">
        <w:trPr>
          <w:gridAfter w:val="1"/>
          <w:wAfter w:w="484" w:type="dxa"/>
          <w:trHeight w:hRule="exact" w:val="343"/>
        </w:trPr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3A0C2C" w:rsidRPr="00EB7EED" w:rsidTr="00A14D3D">
        <w:trPr>
          <w:trHeight w:hRule="exact" w:val="28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3A0C2C" w:rsidRPr="00EB7EED" w:rsidTr="00A14D3D">
        <w:trPr>
          <w:trHeight w:hRule="exact" w:val="28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3A0C2C" w:rsidRPr="00EB7EED" w:rsidTr="00A14D3D">
        <w:trPr>
          <w:trHeight w:hRule="exact" w:val="28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6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EB7EED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Małgorzata </w:t>
            </w:r>
            <w:proofErr w:type="spellStart"/>
            <w:r w:rsidRPr="00EB7EED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Pronin</w:t>
            </w:r>
            <w:proofErr w:type="spellEnd"/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tabs>
                <w:tab w:val="left" w:pos="5850"/>
              </w:tabs>
              <w:spacing w:before="6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EB7EED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                                         2021.03.10</w:t>
            </w:r>
            <w:r w:rsidRPr="00EB7EED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ab/>
              <w:t xml:space="preserve">           Barbara Wilk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3A0C2C" w:rsidRPr="00EB7EED" w:rsidTr="00A14D3D">
        <w:trPr>
          <w:trHeight w:hRule="exact" w:val="8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6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6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3A0C2C" w:rsidRPr="00EB7EED" w:rsidTr="00A14D3D">
        <w:trPr>
          <w:trHeight w:hRule="exact" w:val="28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EB7EE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(główny księgowy)       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           </w:t>
            </w:r>
            <w:r w:rsidRPr="00EB7EE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                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EB7EE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(rok, miesiąc, dzień)                                                                          (kierownik)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C" w:rsidRPr="00EB7EED" w:rsidRDefault="003A0C2C" w:rsidP="00A14D3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pacing w:val="20"/>
                <w:sz w:val="20"/>
                <w:szCs w:val="20"/>
                <w:u w:color="000000"/>
                <w:lang w:eastAsia="pl-PL"/>
              </w:rPr>
            </w:pPr>
          </w:p>
        </w:tc>
      </w:tr>
    </w:tbl>
    <w:p w:rsidR="00986FE0" w:rsidRPr="003A0C2C" w:rsidRDefault="00554258" w:rsidP="003A0C2C">
      <w:pPr>
        <w:pStyle w:val="Nagwek1"/>
      </w:pPr>
      <w:bookmarkStart w:id="0" w:name="_GoBack"/>
      <w:bookmarkEnd w:id="0"/>
    </w:p>
    <w:sectPr w:rsidR="00986FE0" w:rsidRPr="003A0C2C" w:rsidSect="00220E0D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0D"/>
    <w:rsid w:val="00036AE0"/>
    <w:rsid w:val="00220E0D"/>
    <w:rsid w:val="003A0C2C"/>
    <w:rsid w:val="00554258"/>
    <w:rsid w:val="00597648"/>
    <w:rsid w:val="00E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0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0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0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0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7E4F-8D8D-4174-B6B6-1031CF7A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HP_LAPTOP</dc:creator>
  <cp:lastModifiedBy>HP_LAPTOP</cp:lastModifiedBy>
  <cp:revision>2</cp:revision>
  <dcterms:created xsi:type="dcterms:W3CDTF">2021-06-14T09:43:00Z</dcterms:created>
  <dcterms:modified xsi:type="dcterms:W3CDTF">2021-06-14T10:27:00Z</dcterms:modified>
</cp:coreProperties>
</file>